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E5C05" w14:textId="77777777" w:rsidR="009122E4" w:rsidRPr="000702A5" w:rsidRDefault="000702A5">
      <w:pPr>
        <w:rPr>
          <w:rFonts w:ascii="Arial" w:hAnsi="Arial" w:cs="Arial"/>
          <w:b/>
          <w:sz w:val="40"/>
          <w:szCs w:val="40"/>
        </w:rPr>
      </w:pPr>
      <w:r w:rsidRPr="000702A5">
        <w:rPr>
          <w:rFonts w:ascii="Arial" w:hAnsi="Arial" w:cs="Arial"/>
          <w:b/>
          <w:sz w:val="40"/>
          <w:szCs w:val="40"/>
        </w:rPr>
        <w:t xml:space="preserve">Know your regulators – Acronyms defined </w:t>
      </w:r>
    </w:p>
    <w:p w14:paraId="169D141F" w14:textId="77777777" w:rsidR="009122E4" w:rsidRPr="000702A5" w:rsidRDefault="000702A5">
      <w:pPr>
        <w:numPr>
          <w:ilvl w:val="0"/>
          <w:numId w:val="1"/>
        </w:numPr>
        <w:rPr>
          <w:rFonts w:ascii="Arial" w:hAnsi="Arial" w:cs="Arial"/>
          <w:i/>
        </w:rPr>
      </w:pPr>
      <w:r w:rsidRPr="000702A5">
        <w:rPr>
          <w:rFonts w:ascii="Arial" w:hAnsi="Arial" w:cs="Arial"/>
          <w:b/>
          <w:i/>
        </w:rPr>
        <w:t xml:space="preserve">Read </w:t>
      </w:r>
      <w:r w:rsidRPr="000702A5">
        <w:rPr>
          <w:rFonts w:ascii="Arial" w:hAnsi="Arial" w:cs="Arial"/>
          <w:i/>
        </w:rPr>
        <w:t xml:space="preserve">which Australia regulatory, government department, statutory agency the acronyms stand for </w:t>
      </w:r>
    </w:p>
    <w:p w14:paraId="231996BF" w14:textId="77777777" w:rsidR="009122E4" w:rsidRPr="000702A5" w:rsidRDefault="000702A5">
      <w:pPr>
        <w:numPr>
          <w:ilvl w:val="0"/>
          <w:numId w:val="1"/>
        </w:numPr>
        <w:rPr>
          <w:rFonts w:ascii="Arial" w:hAnsi="Arial" w:cs="Arial"/>
          <w:i/>
        </w:rPr>
      </w:pPr>
      <w:r w:rsidRPr="000702A5">
        <w:rPr>
          <w:rFonts w:ascii="Arial" w:hAnsi="Arial" w:cs="Arial"/>
          <w:b/>
          <w:i/>
        </w:rPr>
        <w:t>Think about</w:t>
      </w:r>
      <w:r w:rsidRPr="000702A5">
        <w:rPr>
          <w:rFonts w:ascii="Arial" w:hAnsi="Arial" w:cs="Arial"/>
          <w:i/>
        </w:rPr>
        <w:t xml:space="preserve"> how they might relate to your organization’s work </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9122E4" w:rsidRPr="000702A5" w14:paraId="322A027B" w14:textId="77777777">
        <w:tc>
          <w:tcPr>
            <w:tcW w:w="3005" w:type="dxa"/>
            <w:shd w:val="clear" w:color="auto" w:fill="002060"/>
          </w:tcPr>
          <w:p w14:paraId="27B8DAAE" w14:textId="77777777" w:rsidR="009122E4" w:rsidRPr="000702A5" w:rsidRDefault="000702A5">
            <w:pPr>
              <w:rPr>
                <w:rFonts w:ascii="Arial" w:hAnsi="Arial" w:cs="Arial"/>
                <w:b/>
                <w:color w:val="FFFFFF"/>
              </w:rPr>
            </w:pPr>
            <w:r w:rsidRPr="000702A5">
              <w:rPr>
                <w:rFonts w:ascii="Arial" w:hAnsi="Arial" w:cs="Arial"/>
                <w:b/>
                <w:color w:val="FFFFFF"/>
              </w:rPr>
              <w:t>Acronym</w:t>
            </w:r>
          </w:p>
        </w:tc>
        <w:tc>
          <w:tcPr>
            <w:tcW w:w="3005" w:type="dxa"/>
            <w:shd w:val="clear" w:color="auto" w:fill="002060"/>
          </w:tcPr>
          <w:p w14:paraId="79AA0F03" w14:textId="77777777" w:rsidR="009122E4" w:rsidRPr="000702A5" w:rsidRDefault="000702A5">
            <w:pPr>
              <w:rPr>
                <w:rFonts w:ascii="Arial" w:hAnsi="Arial" w:cs="Arial"/>
                <w:b/>
                <w:color w:val="FFFFFF"/>
              </w:rPr>
            </w:pPr>
            <w:r w:rsidRPr="000702A5">
              <w:rPr>
                <w:rFonts w:ascii="Arial" w:hAnsi="Arial" w:cs="Arial"/>
                <w:b/>
                <w:color w:val="FFFFFF"/>
              </w:rPr>
              <w:t>Name</w:t>
            </w:r>
          </w:p>
        </w:tc>
        <w:tc>
          <w:tcPr>
            <w:tcW w:w="3006" w:type="dxa"/>
            <w:shd w:val="clear" w:color="auto" w:fill="002060"/>
          </w:tcPr>
          <w:p w14:paraId="0C0EE313" w14:textId="77777777" w:rsidR="009122E4" w:rsidRPr="000702A5" w:rsidRDefault="000702A5">
            <w:pPr>
              <w:rPr>
                <w:rFonts w:ascii="Arial" w:hAnsi="Arial" w:cs="Arial"/>
                <w:b/>
                <w:color w:val="FFFFFF"/>
              </w:rPr>
            </w:pPr>
            <w:r w:rsidRPr="000702A5">
              <w:rPr>
                <w:rFonts w:ascii="Arial" w:hAnsi="Arial" w:cs="Arial"/>
                <w:b/>
                <w:color w:val="FFFFFF"/>
              </w:rPr>
              <w:t xml:space="preserve">Description </w:t>
            </w:r>
          </w:p>
        </w:tc>
      </w:tr>
      <w:tr w:rsidR="00013B8E" w:rsidRPr="000702A5" w14:paraId="38567003" w14:textId="77777777">
        <w:trPr>
          <w:trHeight w:val="384"/>
        </w:trPr>
        <w:tc>
          <w:tcPr>
            <w:tcW w:w="3005" w:type="dxa"/>
          </w:tcPr>
          <w:p w14:paraId="7284D0B9" w14:textId="66710963" w:rsidR="00013B8E" w:rsidRPr="000702A5" w:rsidRDefault="00013B8E" w:rsidP="00013B8E">
            <w:pPr>
              <w:rPr>
                <w:rFonts w:ascii="Arial" w:hAnsi="Arial" w:cs="Arial"/>
                <w:b/>
              </w:rPr>
            </w:pPr>
            <w:r>
              <w:rPr>
                <w:rFonts w:ascii="Arial" w:hAnsi="Arial" w:cs="Arial"/>
                <w:b/>
              </w:rPr>
              <w:t>DFFH</w:t>
            </w:r>
          </w:p>
        </w:tc>
        <w:tc>
          <w:tcPr>
            <w:tcW w:w="3005" w:type="dxa"/>
          </w:tcPr>
          <w:p w14:paraId="6C484D01" w14:textId="19820AD6" w:rsidR="00013B8E" w:rsidRPr="000702A5" w:rsidRDefault="00013B8E" w:rsidP="00013B8E">
            <w:pPr>
              <w:rPr>
                <w:rFonts w:ascii="Arial" w:hAnsi="Arial" w:cs="Arial"/>
              </w:rPr>
            </w:pPr>
            <w:r>
              <w:rPr>
                <w:rFonts w:ascii="Arial" w:hAnsi="Arial" w:cs="Arial"/>
              </w:rPr>
              <w:t>Department of Families, Fairness and Housing</w:t>
            </w:r>
          </w:p>
        </w:tc>
        <w:tc>
          <w:tcPr>
            <w:tcW w:w="3006" w:type="dxa"/>
          </w:tcPr>
          <w:p w14:paraId="2CBF0CAF" w14:textId="2CE66E7D" w:rsidR="00013B8E" w:rsidRPr="000702A5" w:rsidRDefault="00013B8E" w:rsidP="00013B8E">
            <w:pPr>
              <w:rPr>
                <w:rFonts w:ascii="Arial" w:hAnsi="Arial" w:cs="Arial"/>
                <w:color w:val="253746"/>
                <w:highlight w:val="white"/>
              </w:rPr>
            </w:pPr>
            <w:r>
              <w:rPr>
                <w:rFonts w:ascii="Arial" w:hAnsi="Arial" w:cs="Arial"/>
              </w:rPr>
              <w:t xml:space="preserve">The department is responsible for child protection, prevention of family violence, housing, disability, multicultural affairs, LGBTIQ+ equality, veterans, and the offices for Women and Youth. </w:t>
            </w:r>
          </w:p>
        </w:tc>
      </w:tr>
      <w:tr w:rsidR="00013B8E" w:rsidRPr="000702A5" w14:paraId="27A172B1" w14:textId="77777777">
        <w:trPr>
          <w:trHeight w:val="384"/>
        </w:trPr>
        <w:tc>
          <w:tcPr>
            <w:tcW w:w="3005" w:type="dxa"/>
          </w:tcPr>
          <w:p w14:paraId="41E7B636" w14:textId="0E7D0E0A" w:rsidR="00013B8E" w:rsidRDefault="00013B8E" w:rsidP="00013B8E">
            <w:pPr>
              <w:rPr>
                <w:rFonts w:ascii="Arial" w:hAnsi="Arial" w:cs="Arial"/>
                <w:b/>
              </w:rPr>
            </w:pPr>
            <w:r w:rsidRPr="000702A5">
              <w:rPr>
                <w:rFonts w:ascii="Arial" w:hAnsi="Arial" w:cs="Arial"/>
                <w:b/>
              </w:rPr>
              <w:t>DET</w:t>
            </w:r>
          </w:p>
        </w:tc>
        <w:tc>
          <w:tcPr>
            <w:tcW w:w="3005" w:type="dxa"/>
          </w:tcPr>
          <w:p w14:paraId="7145FDC5" w14:textId="6E904D9A" w:rsidR="00013B8E" w:rsidRDefault="00013B8E" w:rsidP="00013B8E">
            <w:pPr>
              <w:rPr>
                <w:rFonts w:ascii="Arial" w:hAnsi="Arial" w:cs="Arial"/>
              </w:rPr>
            </w:pPr>
            <w:r w:rsidRPr="000702A5">
              <w:rPr>
                <w:rFonts w:ascii="Arial" w:hAnsi="Arial" w:cs="Arial"/>
              </w:rPr>
              <w:t xml:space="preserve">Department of Education and Training </w:t>
            </w:r>
          </w:p>
        </w:tc>
        <w:tc>
          <w:tcPr>
            <w:tcW w:w="3006" w:type="dxa"/>
          </w:tcPr>
          <w:p w14:paraId="25256BB3" w14:textId="30FE0116" w:rsidR="00013B8E" w:rsidRDefault="00013B8E" w:rsidP="00013B8E">
            <w:pPr>
              <w:rPr>
                <w:rFonts w:ascii="Arial" w:hAnsi="Arial" w:cs="Arial"/>
              </w:rPr>
            </w:pPr>
            <w:r w:rsidRPr="000702A5">
              <w:rPr>
                <w:rFonts w:ascii="Arial" w:hAnsi="Arial" w:cs="Arial"/>
                <w:highlight w:val="white"/>
              </w:rPr>
              <w:t>The department responsible for implementing Victorian government policy on early childhood services, school education and training and higher education services. They also manage Victorian government schools and drive improvement in primary and secondary government education.</w:t>
            </w:r>
          </w:p>
        </w:tc>
      </w:tr>
      <w:tr w:rsidR="00013B8E" w:rsidRPr="000702A5" w14:paraId="2F269B16" w14:textId="77777777">
        <w:trPr>
          <w:trHeight w:val="384"/>
        </w:trPr>
        <w:tc>
          <w:tcPr>
            <w:tcW w:w="3005" w:type="dxa"/>
          </w:tcPr>
          <w:p w14:paraId="7A3882B7" w14:textId="18C6B132" w:rsidR="00013B8E" w:rsidRPr="000702A5" w:rsidRDefault="00013B8E" w:rsidP="00013B8E">
            <w:pPr>
              <w:rPr>
                <w:rFonts w:ascii="Arial" w:hAnsi="Arial" w:cs="Arial"/>
                <w:b/>
              </w:rPr>
            </w:pPr>
            <w:r w:rsidRPr="000702A5">
              <w:rPr>
                <w:rFonts w:ascii="Arial" w:hAnsi="Arial" w:cs="Arial"/>
                <w:b/>
              </w:rPr>
              <w:t>VICPOL</w:t>
            </w:r>
          </w:p>
        </w:tc>
        <w:tc>
          <w:tcPr>
            <w:tcW w:w="3005" w:type="dxa"/>
          </w:tcPr>
          <w:p w14:paraId="64FBA3FC" w14:textId="19889293" w:rsidR="00013B8E" w:rsidRPr="000702A5" w:rsidRDefault="00013B8E" w:rsidP="00013B8E">
            <w:pPr>
              <w:rPr>
                <w:rFonts w:ascii="Arial" w:hAnsi="Arial" w:cs="Arial"/>
              </w:rPr>
            </w:pPr>
            <w:r w:rsidRPr="000702A5">
              <w:rPr>
                <w:rFonts w:ascii="Arial" w:hAnsi="Arial" w:cs="Arial"/>
              </w:rPr>
              <w:t>Victoria Police</w:t>
            </w:r>
          </w:p>
        </w:tc>
        <w:tc>
          <w:tcPr>
            <w:tcW w:w="3006" w:type="dxa"/>
          </w:tcPr>
          <w:p w14:paraId="24CEDDFB" w14:textId="276BC8DA" w:rsidR="00013B8E" w:rsidRPr="000702A5" w:rsidRDefault="00013B8E" w:rsidP="00013B8E">
            <w:pPr>
              <w:rPr>
                <w:rFonts w:ascii="Arial" w:hAnsi="Arial" w:cs="Arial"/>
                <w:highlight w:val="white"/>
              </w:rPr>
            </w:pPr>
            <w:r w:rsidRPr="000702A5">
              <w:rPr>
                <w:rFonts w:ascii="Arial" w:hAnsi="Arial" w:cs="Arial"/>
              </w:rPr>
              <w:t>Provide policing services to the Victorian community. </w:t>
            </w:r>
          </w:p>
        </w:tc>
      </w:tr>
      <w:tr w:rsidR="00013B8E" w:rsidRPr="000702A5" w14:paraId="6112FF76" w14:textId="77777777">
        <w:trPr>
          <w:trHeight w:val="384"/>
        </w:trPr>
        <w:tc>
          <w:tcPr>
            <w:tcW w:w="3005" w:type="dxa"/>
          </w:tcPr>
          <w:p w14:paraId="10ADF377" w14:textId="77777777" w:rsidR="00013B8E" w:rsidRPr="000702A5" w:rsidRDefault="00013B8E" w:rsidP="00013B8E">
            <w:pPr>
              <w:rPr>
                <w:rFonts w:ascii="Arial" w:hAnsi="Arial" w:cs="Arial"/>
                <w:b/>
              </w:rPr>
            </w:pPr>
            <w:r w:rsidRPr="000702A5">
              <w:rPr>
                <w:rFonts w:ascii="Arial" w:hAnsi="Arial" w:cs="Arial"/>
                <w:b/>
              </w:rPr>
              <w:t>ASIC</w:t>
            </w:r>
          </w:p>
        </w:tc>
        <w:tc>
          <w:tcPr>
            <w:tcW w:w="3005" w:type="dxa"/>
          </w:tcPr>
          <w:p w14:paraId="7C61DA58" w14:textId="77777777" w:rsidR="00013B8E" w:rsidRPr="000702A5" w:rsidRDefault="00013B8E" w:rsidP="00013B8E">
            <w:pPr>
              <w:rPr>
                <w:rFonts w:ascii="Arial" w:hAnsi="Arial" w:cs="Arial"/>
              </w:rPr>
            </w:pPr>
            <w:r w:rsidRPr="000702A5">
              <w:rPr>
                <w:rFonts w:ascii="Arial" w:hAnsi="Arial" w:cs="Arial"/>
              </w:rPr>
              <w:t>Australian Securities and Investments Commission</w:t>
            </w:r>
          </w:p>
        </w:tc>
        <w:tc>
          <w:tcPr>
            <w:tcW w:w="3006" w:type="dxa"/>
          </w:tcPr>
          <w:p w14:paraId="51025210" w14:textId="5239C95D" w:rsidR="00013B8E" w:rsidRPr="000702A5" w:rsidRDefault="00013B8E" w:rsidP="00013B8E">
            <w:pPr>
              <w:rPr>
                <w:rFonts w:ascii="Arial" w:hAnsi="Arial" w:cs="Arial"/>
                <w:b/>
              </w:rPr>
            </w:pPr>
            <w:r w:rsidRPr="000702A5">
              <w:rPr>
                <w:rFonts w:ascii="Arial" w:hAnsi="Arial" w:cs="Arial"/>
                <w:color w:val="253746"/>
                <w:highlight w:val="white"/>
              </w:rPr>
              <w:t>Australia's integrated corporate, markets, financial services, and consumer credit regulator.</w:t>
            </w:r>
          </w:p>
        </w:tc>
      </w:tr>
      <w:tr w:rsidR="00013B8E" w:rsidRPr="000702A5" w14:paraId="34AEF6DB" w14:textId="77777777">
        <w:tc>
          <w:tcPr>
            <w:tcW w:w="3005" w:type="dxa"/>
          </w:tcPr>
          <w:p w14:paraId="30DF2EEE" w14:textId="77777777" w:rsidR="00013B8E" w:rsidRPr="000702A5" w:rsidRDefault="00013B8E" w:rsidP="00013B8E">
            <w:pPr>
              <w:rPr>
                <w:rFonts w:ascii="Arial" w:hAnsi="Arial" w:cs="Arial"/>
                <w:b/>
              </w:rPr>
            </w:pPr>
            <w:r w:rsidRPr="000702A5">
              <w:rPr>
                <w:rFonts w:ascii="Arial" w:hAnsi="Arial" w:cs="Arial"/>
                <w:b/>
              </w:rPr>
              <w:t>APRA</w:t>
            </w:r>
          </w:p>
        </w:tc>
        <w:tc>
          <w:tcPr>
            <w:tcW w:w="3005" w:type="dxa"/>
          </w:tcPr>
          <w:p w14:paraId="7D182ADD" w14:textId="77777777" w:rsidR="00013B8E" w:rsidRPr="000702A5" w:rsidRDefault="00013B8E" w:rsidP="00013B8E">
            <w:pPr>
              <w:rPr>
                <w:rFonts w:ascii="Arial" w:hAnsi="Arial" w:cs="Arial"/>
              </w:rPr>
            </w:pPr>
            <w:r w:rsidRPr="000702A5">
              <w:rPr>
                <w:rFonts w:ascii="Arial" w:hAnsi="Arial" w:cs="Arial"/>
              </w:rPr>
              <w:t xml:space="preserve">Australian Prudential Regulation Authority </w:t>
            </w:r>
          </w:p>
        </w:tc>
        <w:tc>
          <w:tcPr>
            <w:tcW w:w="3006" w:type="dxa"/>
          </w:tcPr>
          <w:p w14:paraId="2331484A" w14:textId="041DB5A6" w:rsidR="00013B8E" w:rsidRPr="000702A5" w:rsidRDefault="00013B8E" w:rsidP="00013B8E">
            <w:pPr>
              <w:rPr>
                <w:rFonts w:ascii="Arial" w:hAnsi="Arial" w:cs="Arial"/>
                <w:b/>
              </w:rPr>
            </w:pPr>
            <w:r w:rsidRPr="000702A5">
              <w:rPr>
                <w:rFonts w:ascii="Arial" w:hAnsi="Arial" w:cs="Arial"/>
                <w:color w:val="000000"/>
              </w:rPr>
              <w:t>Australia’s independent statutory authority that supervises institutions across banking, insurance, and superannuation, and is accountable to the Australian Parliament.</w:t>
            </w:r>
          </w:p>
        </w:tc>
      </w:tr>
      <w:tr w:rsidR="00013B8E" w:rsidRPr="000702A5" w14:paraId="2DDDA9F3" w14:textId="77777777">
        <w:tc>
          <w:tcPr>
            <w:tcW w:w="3005" w:type="dxa"/>
          </w:tcPr>
          <w:p w14:paraId="3740FD56" w14:textId="77777777" w:rsidR="00013B8E" w:rsidRPr="000702A5" w:rsidRDefault="00013B8E" w:rsidP="00013B8E">
            <w:pPr>
              <w:rPr>
                <w:rFonts w:ascii="Arial" w:hAnsi="Arial" w:cs="Arial"/>
                <w:b/>
              </w:rPr>
            </w:pPr>
            <w:r w:rsidRPr="000702A5">
              <w:rPr>
                <w:rFonts w:ascii="Arial" w:hAnsi="Arial" w:cs="Arial"/>
                <w:b/>
              </w:rPr>
              <w:t>AHPRA</w:t>
            </w:r>
          </w:p>
        </w:tc>
        <w:tc>
          <w:tcPr>
            <w:tcW w:w="3005" w:type="dxa"/>
          </w:tcPr>
          <w:p w14:paraId="5343948C" w14:textId="77777777" w:rsidR="00013B8E" w:rsidRPr="000702A5" w:rsidRDefault="00013B8E" w:rsidP="00013B8E">
            <w:pPr>
              <w:rPr>
                <w:rFonts w:ascii="Arial" w:hAnsi="Arial" w:cs="Arial"/>
              </w:rPr>
            </w:pPr>
            <w:r w:rsidRPr="000702A5">
              <w:rPr>
                <w:rFonts w:ascii="Arial" w:hAnsi="Arial" w:cs="Arial"/>
              </w:rPr>
              <w:t xml:space="preserve">Australian Health Practitioner Regulation Agency </w:t>
            </w:r>
          </w:p>
        </w:tc>
        <w:tc>
          <w:tcPr>
            <w:tcW w:w="3006" w:type="dxa"/>
          </w:tcPr>
          <w:p w14:paraId="62A6A390" w14:textId="77777777" w:rsidR="00013B8E" w:rsidRPr="000702A5" w:rsidRDefault="00013B8E" w:rsidP="00013B8E">
            <w:pPr>
              <w:rPr>
                <w:rFonts w:ascii="Arial" w:hAnsi="Arial" w:cs="Arial"/>
              </w:rPr>
            </w:pPr>
            <w:r w:rsidRPr="000702A5">
              <w:rPr>
                <w:rFonts w:ascii="Arial" w:hAnsi="Arial" w:cs="Arial"/>
              </w:rPr>
              <w:t>Supports the 15 National Boards that are responsible for regulating the health professions. The primary role of the National Boards is to protect the public and set standards and policies that all registered health practitioners must meet.</w:t>
            </w:r>
          </w:p>
        </w:tc>
      </w:tr>
      <w:tr w:rsidR="00013B8E" w:rsidRPr="000702A5" w14:paraId="4850AC27" w14:textId="77777777">
        <w:tc>
          <w:tcPr>
            <w:tcW w:w="3005" w:type="dxa"/>
          </w:tcPr>
          <w:p w14:paraId="2BCD9291" w14:textId="77777777" w:rsidR="00013B8E" w:rsidRPr="000702A5" w:rsidRDefault="00013B8E" w:rsidP="00013B8E">
            <w:pPr>
              <w:rPr>
                <w:rFonts w:ascii="Arial" w:hAnsi="Arial" w:cs="Arial"/>
                <w:b/>
              </w:rPr>
            </w:pPr>
            <w:r w:rsidRPr="000702A5">
              <w:rPr>
                <w:rFonts w:ascii="Arial" w:hAnsi="Arial" w:cs="Arial"/>
                <w:b/>
              </w:rPr>
              <w:t>AGS</w:t>
            </w:r>
          </w:p>
        </w:tc>
        <w:tc>
          <w:tcPr>
            <w:tcW w:w="3005" w:type="dxa"/>
          </w:tcPr>
          <w:p w14:paraId="087C7C80" w14:textId="77777777" w:rsidR="00013B8E" w:rsidRPr="000702A5" w:rsidRDefault="00013B8E" w:rsidP="00013B8E">
            <w:pPr>
              <w:rPr>
                <w:rFonts w:ascii="Arial" w:hAnsi="Arial" w:cs="Arial"/>
              </w:rPr>
            </w:pPr>
            <w:r w:rsidRPr="000702A5">
              <w:rPr>
                <w:rFonts w:ascii="Arial" w:hAnsi="Arial" w:cs="Arial"/>
              </w:rPr>
              <w:t>Australian Government Solicitor</w:t>
            </w:r>
          </w:p>
        </w:tc>
        <w:tc>
          <w:tcPr>
            <w:tcW w:w="3006" w:type="dxa"/>
          </w:tcPr>
          <w:p w14:paraId="2AC0FA57" w14:textId="77777777" w:rsidR="00013B8E" w:rsidRPr="000702A5" w:rsidRDefault="00013B8E" w:rsidP="00013B8E">
            <w:pPr>
              <w:rPr>
                <w:rFonts w:ascii="Arial" w:hAnsi="Arial" w:cs="Arial"/>
                <w:b/>
              </w:rPr>
            </w:pPr>
            <w:r w:rsidRPr="000702A5">
              <w:rPr>
                <w:rFonts w:ascii="Arial" w:hAnsi="Arial" w:cs="Arial"/>
                <w:highlight w:val="white"/>
              </w:rPr>
              <w:t xml:space="preserve">AGS is a group within the Australian Government Attorney-General’s Department providing legal services to government. </w:t>
            </w:r>
          </w:p>
        </w:tc>
      </w:tr>
      <w:tr w:rsidR="00013B8E" w:rsidRPr="000702A5" w14:paraId="0490FD04" w14:textId="77777777">
        <w:tc>
          <w:tcPr>
            <w:tcW w:w="3005" w:type="dxa"/>
          </w:tcPr>
          <w:p w14:paraId="59E9381F" w14:textId="77777777" w:rsidR="00013B8E" w:rsidRPr="000702A5" w:rsidRDefault="00013B8E" w:rsidP="00013B8E">
            <w:pPr>
              <w:rPr>
                <w:rFonts w:ascii="Arial" w:hAnsi="Arial" w:cs="Arial"/>
                <w:b/>
              </w:rPr>
            </w:pPr>
            <w:r w:rsidRPr="000702A5">
              <w:rPr>
                <w:rFonts w:ascii="Arial" w:hAnsi="Arial" w:cs="Arial"/>
                <w:b/>
              </w:rPr>
              <w:lastRenderedPageBreak/>
              <w:t>ATO</w:t>
            </w:r>
          </w:p>
        </w:tc>
        <w:tc>
          <w:tcPr>
            <w:tcW w:w="3005" w:type="dxa"/>
          </w:tcPr>
          <w:p w14:paraId="631AE2F0" w14:textId="77777777" w:rsidR="00013B8E" w:rsidRPr="000702A5" w:rsidRDefault="00013B8E" w:rsidP="00013B8E">
            <w:pPr>
              <w:rPr>
                <w:rFonts w:ascii="Arial" w:hAnsi="Arial" w:cs="Arial"/>
              </w:rPr>
            </w:pPr>
            <w:r w:rsidRPr="000702A5">
              <w:rPr>
                <w:rFonts w:ascii="Arial" w:hAnsi="Arial" w:cs="Arial"/>
              </w:rPr>
              <w:t xml:space="preserve">Australian Taxation Office </w:t>
            </w:r>
          </w:p>
        </w:tc>
        <w:tc>
          <w:tcPr>
            <w:tcW w:w="3006" w:type="dxa"/>
          </w:tcPr>
          <w:p w14:paraId="1980FDB0" w14:textId="77777777" w:rsidR="00013B8E" w:rsidRPr="000702A5" w:rsidRDefault="00013B8E" w:rsidP="00013B8E">
            <w:pPr>
              <w:rPr>
                <w:rFonts w:ascii="Arial" w:hAnsi="Arial" w:cs="Arial"/>
                <w:b/>
              </w:rPr>
            </w:pPr>
            <w:r w:rsidRPr="000702A5">
              <w:rPr>
                <w:rFonts w:ascii="Arial" w:hAnsi="Arial" w:cs="Arial"/>
                <w:highlight w:val="white"/>
              </w:rPr>
              <w:t>The principal revenue collection agency of the Australian Government.</w:t>
            </w:r>
          </w:p>
        </w:tc>
      </w:tr>
      <w:tr w:rsidR="00013B8E" w:rsidRPr="000702A5" w14:paraId="1787C231" w14:textId="77777777">
        <w:tc>
          <w:tcPr>
            <w:tcW w:w="3005" w:type="dxa"/>
          </w:tcPr>
          <w:p w14:paraId="49473F25" w14:textId="77777777" w:rsidR="00013B8E" w:rsidRPr="000702A5" w:rsidRDefault="00013B8E" w:rsidP="00013B8E">
            <w:pPr>
              <w:rPr>
                <w:rFonts w:ascii="Arial" w:hAnsi="Arial" w:cs="Arial"/>
                <w:b/>
              </w:rPr>
            </w:pPr>
            <w:r w:rsidRPr="000702A5">
              <w:rPr>
                <w:rFonts w:ascii="Arial" w:hAnsi="Arial" w:cs="Arial"/>
                <w:b/>
              </w:rPr>
              <w:t>ACNC</w:t>
            </w:r>
          </w:p>
        </w:tc>
        <w:tc>
          <w:tcPr>
            <w:tcW w:w="3005" w:type="dxa"/>
          </w:tcPr>
          <w:p w14:paraId="4D4E4D3A" w14:textId="77777777" w:rsidR="00013B8E" w:rsidRPr="000702A5" w:rsidRDefault="00013B8E" w:rsidP="00013B8E">
            <w:pPr>
              <w:rPr>
                <w:rFonts w:ascii="Arial" w:hAnsi="Arial" w:cs="Arial"/>
              </w:rPr>
            </w:pPr>
            <w:r w:rsidRPr="000702A5">
              <w:rPr>
                <w:rFonts w:ascii="Arial" w:hAnsi="Arial" w:cs="Arial"/>
              </w:rPr>
              <w:t xml:space="preserve">Australian Charities and Not-for-Profits Commission </w:t>
            </w:r>
          </w:p>
        </w:tc>
        <w:tc>
          <w:tcPr>
            <w:tcW w:w="3006" w:type="dxa"/>
          </w:tcPr>
          <w:p w14:paraId="4FF57B4B" w14:textId="77777777" w:rsidR="00013B8E" w:rsidRPr="000702A5" w:rsidRDefault="00013B8E" w:rsidP="00013B8E">
            <w:pPr>
              <w:rPr>
                <w:rFonts w:ascii="Arial" w:hAnsi="Arial" w:cs="Arial"/>
                <w:b/>
              </w:rPr>
            </w:pPr>
            <w:r w:rsidRPr="000702A5">
              <w:rPr>
                <w:rFonts w:ascii="Arial" w:hAnsi="Arial" w:cs="Arial"/>
                <w:highlight w:val="white"/>
              </w:rPr>
              <w:t>The national regulator of charities.</w:t>
            </w:r>
          </w:p>
        </w:tc>
      </w:tr>
      <w:tr w:rsidR="00013B8E" w:rsidRPr="000702A5" w14:paraId="2607B6EA" w14:textId="77777777">
        <w:tc>
          <w:tcPr>
            <w:tcW w:w="3005" w:type="dxa"/>
          </w:tcPr>
          <w:p w14:paraId="55D70FB4" w14:textId="5ACBF2DB" w:rsidR="00013B8E" w:rsidRPr="000702A5" w:rsidRDefault="00013B8E" w:rsidP="00013B8E">
            <w:pPr>
              <w:rPr>
                <w:rFonts w:ascii="Arial" w:hAnsi="Arial" w:cs="Arial"/>
                <w:b/>
              </w:rPr>
            </w:pPr>
            <w:r>
              <w:rPr>
                <w:rFonts w:ascii="Arial" w:hAnsi="Arial" w:cs="Arial"/>
                <w:b/>
              </w:rPr>
              <w:t>ACOSS</w:t>
            </w:r>
          </w:p>
        </w:tc>
        <w:tc>
          <w:tcPr>
            <w:tcW w:w="3005" w:type="dxa"/>
          </w:tcPr>
          <w:p w14:paraId="36823EE3" w14:textId="6E95A8EA" w:rsidR="00013B8E" w:rsidRPr="000702A5" w:rsidRDefault="00013B8E" w:rsidP="00013B8E">
            <w:pPr>
              <w:rPr>
                <w:rFonts w:ascii="Arial" w:hAnsi="Arial" w:cs="Arial"/>
              </w:rPr>
            </w:pPr>
            <w:r>
              <w:rPr>
                <w:rFonts w:ascii="Arial" w:hAnsi="Arial" w:cs="Arial"/>
              </w:rPr>
              <w:t xml:space="preserve">Australian Council of Social Services </w:t>
            </w:r>
          </w:p>
        </w:tc>
        <w:tc>
          <w:tcPr>
            <w:tcW w:w="3006" w:type="dxa"/>
          </w:tcPr>
          <w:p w14:paraId="3DB363C8" w14:textId="36B82204" w:rsidR="00013B8E" w:rsidRPr="000702A5" w:rsidRDefault="00013B8E" w:rsidP="00013B8E">
            <w:pPr>
              <w:rPr>
                <w:rFonts w:ascii="Arial" w:hAnsi="Arial" w:cs="Arial"/>
                <w:highlight w:val="white"/>
              </w:rPr>
            </w:pPr>
            <w:r>
              <w:rPr>
                <w:rFonts w:ascii="Arial" w:hAnsi="Arial" w:cs="Arial"/>
                <w:highlight w:val="white"/>
              </w:rPr>
              <w:t>Australian organisation that advocates for action to reduce poverty and inequality and is the peak body for the community services sector.</w:t>
            </w:r>
          </w:p>
        </w:tc>
      </w:tr>
      <w:tr w:rsidR="00013B8E" w:rsidRPr="000702A5" w14:paraId="6039EC5F" w14:textId="77777777">
        <w:tc>
          <w:tcPr>
            <w:tcW w:w="3005" w:type="dxa"/>
          </w:tcPr>
          <w:p w14:paraId="1E802411" w14:textId="68F81B0D" w:rsidR="00013B8E" w:rsidRPr="00201662" w:rsidRDefault="00013B8E" w:rsidP="00013B8E">
            <w:pPr>
              <w:rPr>
                <w:rFonts w:ascii="Arial" w:hAnsi="Arial" w:cs="Arial"/>
                <w:b/>
              </w:rPr>
            </w:pPr>
            <w:r>
              <w:rPr>
                <w:rFonts w:ascii="Arial" w:hAnsi="Arial" w:cs="Arial"/>
                <w:b/>
              </w:rPr>
              <w:t>AHRC</w:t>
            </w:r>
          </w:p>
        </w:tc>
        <w:tc>
          <w:tcPr>
            <w:tcW w:w="3005" w:type="dxa"/>
          </w:tcPr>
          <w:p w14:paraId="34F45A3F" w14:textId="2B23DB24" w:rsidR="00013B8E" w:rsidRPr="00201662" w:rsidRDefault="00013B8E" w:rsidP="00013B8E">
            <w:pPr>
              <w:rPr>
                <w:rFonts w:ascii="Arial" w:hAnsi="Arial" w:cs="Arial"/>
                <w:bCs/>
              </w:rPr>
            </w:pPr>
            <w:r w:rsidRPr="00201662">
              <w:rPr>
                <w:rFonts w:ascii="Arial" w:hAnsi="Arial" w:cs="Arial"/>
                <w:bCs/>
              </w:rPr>
              <w:t>Australian Human Rights Commission</w:t>
            </w:r>
          </w:p>
        </w:tc>
        <w:tc>
          <w:tcPr>
            <w:tcW w:w="3006" w:type="dxa"/>
          </w:tcPr>
          <w:p w14:paraId="1D36F3F6" w14:textId="5FCEE025" w:rsidR="00013B8E" w:rsidRDefault="00013B8E" w:rsidP="00013B8E">
            <w:pPr>
              <w:rPr>
                <w:rFonts w:ascii="Arial" w:hAnsi="Arial" w:cs="Arial"/>
                <w:highlight w:val="white"/>
              </w:rPr>
            </w:pPr>
            <w:r>
              <w:rPr>
                <w:rFonts w:ascii="Arial" w:hAnsi="Arial" w:cs="Arial"/>
                <w:highlight w:val="white"/>
              </w:rPr>
              <w:t>National Human Rights institute of Australia.</w:t>
            </w:r>
          </w:p>
        </w:tc>
      </w:tr>
      <w:tr w:rsidR="00013B8E" w:rsidRPr="000702A5" w14:paraId="1E7AD782" w14:textId="77777777">
        <w:tc>
          <w:tcPr>
            <w:tcW w:w="3005" w:type="dxa"/>
          </w:tcPr>
          <w:p w14:paraId="4F83017C" w14:textId="36C59A96" w:rsidR="00013B8E" w:rsidRDefault="00013B8E" w:rsidP="00013B8E">
            <w:pPr>
              <w:rPr>
                <w:rFonts w:ascii="Arial" w:hAnsi="Arial" w:cs="Arial"/>
                <w:b/>
              </w:rPr>
            </w:pPr>
            <w:r>
              <w:rPr>
                <w:rFonts w:ascii="Arial" w:hAnsi="Arial" w:cs="Arial"/>
                <w:b/>
              </w:rPr>
              <w:t>NDIS Q&amp;S COM</w:t>
            </w:r>
          </w:p>
        </w:tc>
        <w:tc>
          <w:tcPr>
            <w:tcW w:w="3005" w:type="dxa"/>
          </w:tcPr>
          <w:p w14:paraId="6FDCCD15" w14:textId="63A531B6" w:rsidR="00013B8E" w:rsidRPr="00201662" w:rsidRDefault="00013B8E" w:rsidP="00013B8E">
            <w:pPr>
              <w:rPr>
                <w:rFonts w:ascii="Arial" w:hAnsi="Arial" w:cs="Arial"/>
                <w:bCs/>
              </w:rPr>
            </w:pPr>
            <w:r>
              <w:rPr>
                <w:rFonts w:ascii="Arial" w:hAnsi="Arial" w:cs="Arial"/>
                <w:bCs/>
              </w:rPr>
              <w:t>NDIS Quality &amp; Safeguards Commission</w:t>
            </w:r>
          </w:p>
        </w:tc>
        <w:tc>
          <w:tcPr>
            <w:tcW w:w="3006" w:type="dxa"/>
          </w:tcPr>
          <w:p w14:paraId="04B49312" w14:textId="54A70D0C" w:rsidR="00013B8E" w:rsidRDefault="00013B8E" w:rsidP="00013B8E">
            <w:pPr>
              <w:rPr>
                <w:rFonts w:ascii="Arial" w:hAnsi="Arial" w:cs="Arial"/>
                <w:highlight w:val="white"/>
              </w:rPr>
            </w:pPr>
            <w:r>
              <w:rPr>
                <w:rFonts w:ascii="Arial" w:hAnsi="Arial" w:cs="Arial"/>
                <w:highlight w:val="white"/>
              </w:rPr>
              <w:t>Regulates NDIS providers, promotes safety and quality services, resolves problems, and identifies areas for improvement.</w:t>
            </w:r>
          </w:p>
        </w:tc>
      </w:tr>
      <w:tr w:rsidR="00013B8E" w:rsidRPr="000702A5" w14:paraId="7D27DEB2" w14:textId="77777777">
        <w:tc>
          <w:tcPr>
            <w:tcW w:w="3005" w:type="dxa"/>
          </w:tcPr>
          <w:p w14:paraId="6BF1BEC1" w14:textId="354AD0AF" w:rsidR="00013B8E" w:rsidRDefault="00013B8E" w:rsidP="00013B8E">
            <w:pPr>
              <w:rPr>
                <w:rFonts w:ascii="Arial" w:hAnsi="Arial" w:cs="Arial"/>
                <w:b/>
              </w:rPr>
            </w:pPr>
            <w:r>
              <w:rPr>
                <w:rFonts w:ascii="Arial" w:hAnsi="Arial" w:cs="Arial"/>
                <w:b/>
              </w:rPr>
              <w:t>CAFWA</w:t>
            </w:r>
          </w:p>
        </w:tc>
        <w:tc>
          <w:tcPr>
            <w:tcW w:w="3005" w:type="dxa"/>
          </w:tcPr>
          <w:p w14:paraId="342FF40A" w14:textId="0EC04428" w:rsidR="00013B8E" w:rsidRDefault="00013B8E" w:rsidP="00013B8E">
            <w:pPr>
              <w:rPr>
                <w:rFonts w:ascii="Arial" w:hAnsi="Arial" w:cs="Arial"/>
              </w:rPr>
            </w:pPr>
            <w:r>
              <w:rPr>
                <w:rFonts w:ascii="Arial" w:hAnsi="Arial" w:cs="Arial"/>
              </w:rPr>
              <w:t>Child and Family Welfare Association of Australia Inc</w:t>
            </w:r>
          </w:p>
        </w:tc>
        <w:tc>
          <w:tcPr>
            <w:tcW w:w="3006" w:type="dxa"/>
          </w:tcPr>
          <w:p w14:paraId="2EB1FC46" w14:textId="0957D3B5" w:rsidR="00013B8E" w:rsidRDefault="00013B8E" w:rsidP="00013B8E">
            <w:pPr>
              <w:rPr>
                <w:rFonts w:ascii="Arial" w:hAnsi="Arial" w:cs="Arial"/>
                <w:highlight w:val="white"/>
              </w:rPr>
            </w:pPr>
            <w:r>
              <w:rPr>
                <w:rFonts w:ascii="Arial" w:hAnsi="Arial" w:cs="Arial"/>
                <w:highlight w:val="white"/>
              </w:rPr>
              <w:t xml:space="preserve">The national peak body for child, adolescent, and family welfare in Australia. </w:t>
            </w:r>
          </w:p>
        </w:tc>
      </w:tr>
      <w:tr w:rsidR="00013B8E" w:rsidRPr="000702A5" w14:paraId="69ED1600" w14:textId="77777777">
        <w:tc>
          <w:tcPr>
            <w:tcW w:w="3005" w:type="dxa"/>
          </w:tcPr>
          <w:p w14:paraId="292C26ED" w14:textId="69B720FD" w:rsidR="00013B8E" w:rsidRDefault="00013B8E" w:rsidP="00013B8E">
            <w:pPr>
              <w:rPr>
                <w:rFonts w:ascii="Arial" w:hAnsi="Arial" w:cs="Arial"/>
                <w:b/>
              </w:rPr>
            </w:pPr>
            <w:r>
              <w:rPr>
                <w:rFonts w:ascii="Arial" w:hAnsi="Arial" w:cs="Arial"/>
                <w:b/>
              </w:rPr>
              <w:t>DHA</w:t>
            </w:r>
          </w:p>
        </w:tc>
        <w:tc>
          <w:tcPr>
            <w:tcW w:w="3005" w:type="dxa"/>
          </w:tcPr>
          <w:p w14:paraId="1DDE10BD" w14:textId="0D891079" w:rsidR="00013B8E" w:rsidRDefault="00013B8E" w:rsidP="00013B8E">
            <w:pPr>
              <w:rPr>
                <w:rFonts w:ascii="Arial" w:hAnsi="Arial" w:cs="Arial"/>
              </w:rPr>
            </w:pPr>
            <w:r>
              <w:rPr>
                <w:rFonts w:ascii="Arial" w:hAnsi="Arial" w:cs="Arial"/>
              </w:rPr>
              <w:t>Department of Home Affairs</w:t>
            </w:r>
          </w:p>
        </w:tc>
        <w:tc>
          <w:tcPr>
            <w:tcW w:w="3006" w:type="dxa"/>
          </w:tcPr>
          <w:p w14:paraId="6B34F6CD" w14:textId="0DDEF5CB" w:rsidR="00013B8E" w:rsidRDefault="00013B8E" w:rsidP="00013B8E">
            <w:pPr>
              <w:rPr>
                <w:rFonts w:ascii="Arial" w:hAnsi="Arial" w:cs="Arial"/>
                <w:highlight w:val="white"/>
              </w:rPr>
            </w:pPr>
            <w:r>
              <w:rPr>
                <w:rFonts w:ascii="Arial" w:hAnsi="Arial" w:cs="Arial"/>
                <w:highlight w:val="white"/>
              </w:rPr>
              <w:t xml:space="preserve">Brings together Australia’s federal law enforcement, national and transport security, criminal justice, emergency management, multicultural affairs, settlement services and immigration and border-related functions. </w:t>
            </w:r>
          </w:p>
        </w:tc>
      </w:tr>
      <w:tr w:rsidR="00013B8E" w:rsidRPr="000702A5" w14:paraId="7204F227" w14:textId="77777777" w:rsidTr="00013B8E">
        <w:trPr>
          <w:trHeight w:val="835"/>
        </w:trPr>
        <w:tc>
          <w:tcPr>
            <w:tcW w:w="3005" w:type="dxa"/>
          </w:tcPr>
          <w:p w14:paraId="201347E0" w14:textId="3BBEF43D" w:rsidR="00013B8E" w:rsidRDefault="00013B8E" w:rsidP="00013B8E">
            <w:pPr>
              <w:rPr>
                <w:rFonts w:ascii="Arial" w:hAnsi="Arial" w:cs="Arial"/>
                <w:b/>
              </w:rPr>
            </w:pPr>
            <w:r>
              <w:rPr>
                <w:rFonts w:ascii="Arial" w:hAnsi="Arial" w:cs="Arial"/>
                <w:b/>
              </w:rPr>
              <w:t>COMCARE</w:t>
            </w:r>
          </w:p>
        </w:tc>
        <w:tc>
          <w:tcPr>
            <w:tcW w:w="3005" w:type="dxa"/>
          </w:tcPr>
          <w:p w14:paraId="1EB91E2A" w14:textId="3C4F6978" w:rsidR="00013B8E" w:rsidRDefault="00013B8E" w:rsidP="00013B8E">
            <w:pPr>
              <w:rPr>
                <w:rFonts w:ascii="Arial" w:hAnsi="Arial" w:cs="Arial"/>
              </w:rPr>
            </w:pPr>
            <w:r>
              <w:rPr>
                <w:rFonts w:ascii="Arial" w:hAnsi="Arial" w:cs="Arial"/>
              </w:rPr>
              <w:t>Australian Government Comcare</w:t>
            </w:r>
          </w:p>
        </w:tc>
        <w:tc>
          <w:tcPr>
            <w:tcW w:w="3006" w:type="dxa"/>
          </w:tcPr>
          <w:p w14:paraId="3EC6F72B" w14:textId="35B567EB" w:rsidR="00013B8E" w:rsidRDefault="00013B8E" w:rsidP="00013B8E">
            <w:pPr>
              <w:rPr>
                <w:rFonts w:ascii="Arial" w:hAnsi="Arial" w:cs="Arial"/>
                <w:highlight w:val="white"/>
              </w:rPr>
            </w:pPr>
            <w:r>
              <w:rPr>
                <w:rFonts w:ascii="Arial" w:hAnsi="Arial" w:cs="Arial"/>
                <w:highlight w:val="white"/>
              </w:rPr>
              <w:t xml:space="preserve">The national authority for work health and safety, and workers’ compensation. </w:t>
            </w:r>
          </w:p>
        </w:tc>
      </w:tr>
    </w:tbl>
    <w:p w14:paraId="5FB4E84F" w14:textId="77777777" w:rsidR="009122E4" w:rsidRPr="000702A5" w:rsidRDefault="000702A5">
      <w:pPr>
        <w:rPr>
          <w:rFonts w:ascii="Arial" w:hAnsi="Arial" w:cs="Arial"/>
        </w:rPr>
      </w:pPr>
      <w:r w:rsidRPr="000702A5">
        <w:rPr>
          <w:rFonts w:ascii="Arial" w:hAnsi="Arial" w:cs="Arial"/>
        </w:rPr>
        <w:br w:type="page"/>
      </w:r>
    </w:p>
    <w:p w14:paraId="3A41184F" w14:textId="77777777" w:rsidR="009122E4" w:rsidRPr="000702A5" w:rsidRDefault="009122E4">
      <w:pPr>
        <w:rPr>
          <w:rFonts w:ascii="Arial" w:hAnsi="Arial" w:cs="Arial"/>
        </w:rPr>
      </w:pPr>
    </w:p>
    <w:p w14:paraId="6E4E60F8" w14:textId="77777777" w:rsidR="009122E4" w:rsidRPr="000702A5" w:rsidRDefault="009122E4">
      <w:pPr>
        <w:rPr>
          <w:rFonts w:ascii="Arial" w:hAnsi="Arial" w:cs="Arial"/>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9122E4" w:rsidRPr="000702A5" w14:paraId="1B77FF6B" w14:textId="77777777">
        <w:tc>
          <w:tcPr>
            <w:tcW w:w="3005" w:type="dxa"/>
          </w:tcPr>
          <w:p w14:paraId="4FEAF4DE" w14:textId="77777777" w:rsidR="009122E4" w:rsidRPr="000702A5" w:rsidRDefault="000702A5">
            <w:pPr>
              <w:rPr>
                <w:rFonts w:ascii="Arial" w:hAnsi="Arial" w:cs="Arial"/>
                <w:b/>
              </w:rPr>
            </w:pPr>
            <w:proofErr w:type="spellStart"/>
            <w:r w:rsidRPr="000702A5">
              <w:rPr>
                <w:rFonts w:ascii="Arial" w:hAnsi="Arial" w:cs="Arial"/>
                <w:b/>
              </w:rPr>
              <w:t>ConsAff</w:t>
            </w:r>
            <w:proofErr w:type="spellEnd"/>
          </w:p>
        </w:tc>
        <w:tc>
          <w:tcPr>
            <w:tcW w:w="3005" w:type="dxa"/>
          </w:tcPr>
          <w:p w14:paraId="03C0BC59" w14:textId="77777777" w:rsidR="009122E4" w:rsidRPr="000702A5" w:rsidRDefault="000702A5">
            <w:pPr>
              <w:rPr>
                <w:rFonts w:ascii="Arial" w:hAnsi="Arial" w:cs="Arial"/>
              </w:rPr>
            </w:pPr>
            <w:r w:rsidRPr="000702A5">
              <w:rPr>
                <w:rFonts w:ascii="Arial" w:hAnsi="Arial" w:cs="Arial"/>
              </w:rPr>
              <w:t>Consumer Affairs</w:t>
            </w:r>
          </w:p>
        </w:tc>
        <w:tc>
          <w:tcPr>
            <w:tcW w:w="3006" w:type="dxa"/>
          </w:tcPr>
          <w:p w14:paraId="140651B1" w14:textId="77777777" w:rsidR="009122E4" w:rsidRPr="000702A5" w:rsidRDefault="000702A5">
            <w:pPr>
              <w:rPr>
                <w:rFonts w:ascii="Arial" w:hAnsi="Arial" w:cs="Arial"/>
              </w:rPr>
            </w:pPr>
            <w:r w:rsidRPr="000702A5">
              <w:rPr>
                <w:rFonts w:ascii="Arial" w:hAnsi="Arial" w:cs="Arial"/>
              </w:rPr>
              <w:t>Victoria’s consumer affairs regulator. Their purpose is to help Victorians act as responsible and informed businesses and consumers.</w:t>
            </w:r>
          </w:p>
          <w:p w14:paraId="51789EFC" w14:textId="77777777" w:rsidR="009122E4" w:rsidRPr="000702A5" w:rsidRDefault="009122E4">
            <w:pPr>
              <w:rPr>
                <w:rFonts w:ascii="Arial" w:hAnsi="Arial" w:cs="Arial"/>
              </w:rPr>
            </w:pPr>
          </w:p>
        </w:tc>
      </w:tr>
      <w:tr w:rsidR="009122E4" w:rsidRPr="000702A5" w14:paraId="5D3F50F7" w14:textId="77777777">
        <w:tc>
          <w:tcPr>
            <w:tcW w:w="3005" w:type="dxa"/>
          </w:tcPr>
          <w:p w14:paraId="658E657D" w14:textId="77777777" w:rsidR="009122E4" w:rsidRPr="000702A5" w:rsidRDefault="000702A5">
            <w:pPr>
              <w:rPr>
                <w:rFonts w:ascii="Arial" w:hAnsi="Arial" w:cs="Arial"/>
                <w:b/>
              </w:rPr>
            </w:pPr>
            <w:r w:rsidRPr="000702A5">
              <w:rPr>
                <w:rFonts w:ascii="Arial" w:hAnsi="Arial" w:cs="Arial"/>
                <w:b/>
              </w:rPr>
              <w:t>VCAT</w:t>
            </w:r>
          </w:p>
        </w:tc>
        <w:tc>
          <w:tcPr>
            <w:tcW w:w="3005" w:type="dxa"/>
          </w:tcPr>
          <w:p w14:paraId="22D86067" w14:textId="77777777" w:rsidR="009122E4" w:rsidRPr="000702A5" w:rsidRDefault="000702A5">
            <w:pPr>
              <w:rPr>
                <w:rFonts w:ascii="Arial" w:hAnsi="Arial" w:cs="Arial"/>
              </w:rPr>
            </w:pPr>
            <w:r w:rsidRPr="000702A5">
              <w:rPr>
                <w:rFonts w:ascii="Arial" w:hAnsi="Arial" w:cs="Arial"/>
              </w:rPr>
              <w:t xml:space="preserve">Victorian Civil and Administrative Tribunal  </w:t>
            </w:r>
          </w:p>
        </w:tc>
        <w:tc>
          <w:tcPr>
            <w:tcW w:w="3006" w:type="dxa"/>
          </w:tcPr>
          <w:p w14:paraId="61F709C9" w14:textId="77777777" w:rsidR="009122E4" w:rsidRPr="000702A5" w:rsidRDefault="000702A5">
            <w:pPr>
              <w:rPr>
                <w:rFonts w:ascii="Arial" w:hAnsi="Arial" w:cs="Arial"/>
                <w:b/>
              </w:rPr>
            </w:pPr>
            <w:r w:rsidRPr="000702A5">
              <w:rPr>
                <w:rFonts w:ascii="Arial" w:hAnsi="Arial" w:cs="Arial"/>
                <w:highlight w:val="white"/>
              </w:rPr>
              <w:t>A tribunal that hears and decides civil and administrative legal cases in Victoria.</w:t>
            </w:r>
          </w:p>
        </w:tc>
      </w:tr>
      <w:tr w:rsidR="009122E4" w:rsidRPr="000702A5" w14:paraId="168FDA67" w14:textId="77777777">
        <w:tc>
          <w:tcPr>
            <w:tcW w:w="3005" w:type="dxa"/>
          </w:tcPr>
          <w:p w14:paraId="6111F19D" w14:textId="77777777" w:rsidR="009122E4" w:rsidRPr="000702A5" w:rsidRDefault="000702A5">
            <w:pPr>
              <w:rPr>
                <w:rFonts w:ascii="Arial" w:hAnsi="Arial" w:cs="Arial"/>
                <w:b/>
              </w:rPr>
            </w:pPr>
            <w:r w:rsidRPr="000702A5">
              <w:rPr>
                <w:rFonts w:ascii="Arial" w:hAnsi="Arial" w:cs="Arial"/>
                <w:b/>
              </w:rPr>
              <w:t>VCAA</w:t>
            </w:r>
          </w:p>
        </w:tc>
        <w:tc>
          <w:tcPr>
            <w:tcW w:w="3005" w:type="dxa"/>
          </w:tcPr>
          <w:p w14:paraId="086F04BB" w14:textId="77777777" w:rsidR="009122E4" w:rsidRPr="000702A5" w:rsidRDefault="000702A5">
            <w:pPr>
              <w:rPr>
                <w:rFonts w:ascii="Arial" w:hAnsi="Arial" w:cs="Arial"/>
              </w:rPr>
            </w:pPr>
            <w:r w:rsidRPr="000702A5">
              <w:rPr>
                <w:rFonts w:ascii="Arial" w:hAnsi="Arial" w:cs="Arial"/>
              </w:rPr>
              <w:t>Victorian Curriculum and Assessment Authority</w:t>
            </w:r>
          </w:p>
        </w:tc>
        <w:tc>
          <w:tcPr>
            <w:tcW w:w="3006" w:type="dxa"/>
          </w:tcPr>
          <w:p w14:paraId="2615349B" w14:textId="77777777" w:rsidR="009122E4" w:rsidRPr="000702A5" w:rsidRDefault="000702A5">
            <w:pPr>
              <w:rPr>
                <w:rFonts w:ascii="Arial" w:hAnsi="Arial" w:cs="Arial"/>
              </w:rPr>
            </w:pPr>
            <w:r w:rsidRPr="000702A5">
              <w:rPr>
                <w:rFonts w:ascii="Arial" w:hAnsi="Arial" w:cs="Arial"/>
              </w:rPr>
              <w:t xml:space="preserve">Develops and assesses curriculum for early learning, primary and secondary education in Victoria. </w:t>
            </w:r>
          </w:p>
        </w:tc>
      </w:tr>
      <w:tr w:rsidR="009122E4" w:rsidRPr="000702A5" w14:paraId="35B426FE" w14:textId="77777777">
        <w:tc>
          <w:tcPr>
            <w:tcW w:w="3005" w:type="dxa"/>
          </w:tcPr>
          <w:p w14:paraId="041ED67B" w14:textId="77777777" w:rsidR="009122E4" w:rsidRPr="000702A5" w:rsidRDefault="00013B8E">
            <w:pPr>
              <w:rPr>
                <w:rFonts w:ascii="Arial" w:hAnsi="Arial" w:cs="Arial"/>
                <w:b/>
              </w:rPr>
            </w:pPr>
            <w:sdt>
              <w:sdtPr>
                <w:rPr>
                  <w:rFonts w:ascii="Arial" w:hAnsi="Arial" w:cs="Arial"/>
                </w:rPr>
                <w:tag w:val="goog_rdk_0"/>
                <w:id w:val="42271958"/>
              </w:sdtPr>
              <w:sdtEndPr/>
              <w:sdtContent/>
            </w:sdt>
            <w:r w:rsidR="000702A5" w:rsidRPr="000702A5">
              <w:rPr>
                <w:rFonts w:ascii="Arial" w:hAnsi="Arial" w:cs="Arial"/>
                <w:b/>
              </w:rPr>
              <w:t>DJCS</w:t>
            </w:r>
          </w:p>
        </w:tc>
        <w:tc>
          <w:tcPr>
            <w:tcW w:w="3005" w:type="dxa"/>
          </w:tcPr>
          <w:p w14:paraId="2E16E661" w14:textId="77777777" w:rsidR="009122E4" w:rsidRPr="000702A5" w:rsidRDefault="000702A5">
            <w:pPr>
              <w:rPr>
                <w:rFonts w:ascii="Arial" w:hAnsi="Arial" w:cs="Arial"/>
              </w:rPr>
            </w:pPr>
            <w:r w:rsidRPr="000702A5">
              <w:rPr>
                <w:rFonts w:ascii="Arial" w:hAnsi="Arial" w:cs="Arial"/>
              </w:rPr>
              <w:t>Department of Justice and Community Safety</w:t>
            </w:r>
          </w:p>
        </w:tc>
        <w:tc>
          <w:tcPr>
            <w:tcW w:w="3006" w:type="dxa"/>
          </w:tcPr>
          <w:p w14:paraId="3F90EBD5" w14:textId="77777777" w:rsidR="009122E4" w:rsidRPr="000702A5" w:rsidRDefault="000702A5">
            <w:pPr>
              <w:rPr>
                <w:rFonts w:ascii="Arial" w:hAnsi="Arial" w:cs="Arial"/>
              </w:rPr>
            </w:pPr>
            <w:r w:rsidRPr="000702A5">
              <w:rPr>
                <w:rFonts w:ascii="Arial" w:hAnsi="Arial" w:cs="Arial"/>
              </w:rPr>
              <w:t xml:space="preserve">The department responsible for providing policy and organisational management for Victoria’s justice and community safety systems. </w:t>
            </w:r>
          </w:p>
        </w:tc>
      </w:tr>
      <w:tr w:rsidR="009122E4" w:rsidRPr="000702A5" w14:paraId="4B378912" w14:textId="77777777">
        <w:tc>
          <w:tcPr>
            <w:tcW w:w="3005" w:type="dxa"/>
          </w:tcPr>
          <w:p w14:paraId="5B48A53B" w14:textId="77777777" w:rsidR="009122E4" w:rsidRPr="000702A5" w:rsidRDefault="000702A5">
            <w:pPr>
              <w:rPr>
                <w:rFonts w:ascii="Arial" w:hAnsi="Arial" w:cs="Arial"/>
                <w:b/>
              </w:rPr>
            </w:pPr>
            <w:r w:rsidRPr="000702A5">
              <w:rPr>
                <w:rFonts w:ascii="Arial" w:hAnsi="Arial" w:cs="Arial"/>
                <w:b/>
              </w:rPr>
              <w:t>WCC</w:t>
            </w:r>
          </w:p>
        </w:tc>
        <w:tc>
          <w:tcPr>
            <w:tcW w:w="3005" w:type="dxa"/>
          </w:tcPr>
          <w:p w14:paraId="0CF7A2CD" w14:textId="77777777" w:rsidR="009122E4" w:rsidRPr="000702A5" w:rsidRDefault="000702A5">
            <w:pPr>
              <w:rPr>
                <w:rFonts w:ascii="Arial" w:hAnsi="Arial" w:cs="Arial"/>
              </w:rPr>
            </w:pPr>
            <w:r w:rsidRPr="000702A5">
              <w:rPr>
                <w:rFonts w:ascii="Arial" w:hAnsi="Arial" w:cs="Arial"/>
              </w:rPr>
              <w:t xml:space="preserve">Working with Children Check </w:t>
            </w:r>
          </w:p>
        </w:tc>
        <w:tc>
          <w:tcPr>
            <w:tcW w:w="3006" w:type="dxa"/>
          </w:tcPr>
          <w:p w14:paraId="132D4833" w14:textId="77777777" w:rsidR="009122E4" w:rsidRPr="000702A5" w:rsidRDefault="000702A5">
            <w:pPr>
              <w:rPr>
                <w:rFonts w:ascii="Arial" w:hAnsi="Arial" w:cs="Arial"/>
              </w:rPr>
            </w:pPr>
            <w:r w:rsidRPr="000702A5">
              <w:rPr>
                <w:rFonts w:ascii="Arial" w:hAnsi="Arial" w:cs="Arial"/>
              </w:rPr>
              <w:t xml:space="preserve">The agency responsible for assessing and managing applications for Working with Children Checks in Victoria. </w:t>
            </w:r>
          </w:p>
        </w:tc>
      </w:tr>
    </w:tbl>
    <w:p w14:paraId="2C924863" w14:textId="77777777" w:rsidR="009122E4" w:rsidRPr="000702A5" w:rsidRDefault="009122E4">
      <w:pPr>
        <w:rPr>
          <w:rFonts w:ascii="Arial" w:hAnsi="Arial" w:cs="Arial"/>
        </w:rPr>
      </w:pPr>
    </w:p>
    <w:sectPr w:rsidR="009122E4" w:rsidRPr="000702A5">
      <w:headerReference w:type="default" r:id="rId8"/>
      <w:footerReference w:type="default" r:id="rId9"/>
      <w:pgSz w:w="11906" w:h="16838"/>
      <w:pgMar w:top="1440" w:right="1440" w:bottom="1440" w:left="1440" w:header="708"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5A355" w14:textId="77777777" w:rsidR="00F8665A" w:rsidRDefault="000702A5">
      <w:pPr>
        <w:spacing w:after="0" w:line="240" w:lineRule="auto"/>
      </w:pPr>
      <w:r>
        <w:separator/>
      </w:r>
    </w:p>
  </w:endnote>
  <w:endnote w:type="continuationSeparator" w:id="0">
    <w:p w14:paraId="27B8E8D7" w14:textId="77777777" w:rsidR="00F8665A" w:rsidRDefault="0007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DAA3" w14:textId="77777777" w:rsidR="009122E4" w:rsidRDefault="000702A5">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245753C" w14:textId="77777777" w:rsidR="009122E4" w:rsidRDefault="009122E4">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FD76F" w14:textId="77777777" w:rsidR="00F8665A" w:rsidRDefault="000702A5">
      <w:pPr>
        <w:spacing w:after="0" w:line="240" w:lineRule="auto"/>
      </w:pPr>
      <w:r>
        <w:separator/>
      </w:r>
    </w:p>
  </w:footnote>
  <w:footnote w:type="continuationSeparator" w:id="0">
    <w:p w14:paraId="17CA022B" w14:textId="77777777" w:rsidR="00F8665A" w:rsidRDefault="00070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0C44" w14:textId="77777777" w:rsidR="009122E4" w:rsidRDefault="000702A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5E718E88" wp14:editId="4575DD4F">
          <wp:simplePos x="0" y="0"/>
          <wp:positionH relativeFrom="column">
            <wp:posOffset>-914399</wp:posOffset>
          </wp:positionH>
          <wp:positionV relativeFrom="paragraph">
            <wp:posOffset>-448309</wp:posOffset>
          </wp:positionV>
          <wp:extent cx="7668507" cy="67373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68507" cy="67373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165A"/>
    <w:multiLevelType w:val="multilevel"/>
    <w:tmpl w:val="3B720FC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E4"/>
    <w:rsid w:val="00013B8E"/>
    <w:rsid w:val="000552AE"/>
    <w:rsid w:val="000702A5"/>
    <w:rsid w:val="00111000"/>
    <w:rsid w:val="00201662"/>
    <w:rsid w:val="002D3ABC"/>
    <w:rsid w:val="00331418"/>
    <w:rsid w:val="0033275F"/>
    <w:rsid w:val="004E0EEB"/>
    <w:rsid w:val="009122E4"/>
    <w:rsid w:val="009B32B6"/>
    <w:rsid w:val="00AB60C1"/>
    <w:rsid w:val="00F86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AF2BD"/>
  <w15:docId w15:val="{1349E86D-D0BB-4B5D-AB23-D8952D2F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AB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F7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F7AB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21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21D3"/>
    <w:rPr>
      <w:rFonts w:ascii="Times New Roman" w:hAnsi="Times New Roman" w:cs="Times New Roman"/>
      <w:sz w:val="18"/>
      <w:szCs w:val="18"/>
    </w:rPr>
  </w:style>
  <w:style w:type="paragraph" w:styleId="Header">
    <w:name w:val="header"/>
    <w:basedOn w:val="Normal"/>
    <w:link w:val="HeaderChar"/>
    <w:uiPriority w:val="99"/>
    <w:unhideWhenUsed/>
    <w:rsid w:val="00C421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1D3"/>
  </w:style>
  <w:style w:type="paragraph" w:styleId="Footer">
    <w:name w:val="footer"/>
    <w:basedOn w:val="Normal"/>
    <w:link w:val="FooterChar"/>
    <w:uiPriority w:val="99"/>
    <w:unhideWhenUsed/>
    <w:rsid w:val="00C421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1D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Of0+n8sremMWpFeX6uFAKZ62dPw==">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Greta Williams</dc:creator>
  <cp:lastModifiedBy>Jessica Valenta</cp:lastModifiedBy>
  <cp:revision>7</cp:revision>
  <dcterms:created xsi:type="dcterms:W3CDTF">2022-02-01T05:20:00Z</dcterms:created>
  <dcterms:modified xsi:type="dcterms:W3CDTF">2022-02-03T04:46:00Z</dcterms:modified>
</cp:coreProperties>
</file>