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highlight w:val="magenta"/>
        </w:rPr>
      </w:pPr>
      <w:r w:rsidDel="00000000" w:rsidR="00000000" w:rsidRPr="00000000">
        <w:rPr>
          <w:rtl w:val="0"/>
        </w:rPr>
      </w:r>
    </w:p>
    <w:p w:rsidR="00000000" w:rsidDel="00000000" w:rsidP="00000000" w:rsidRDefault="00000000" w:rsidRPr="00000000" w14:paraId="00000002">
      <w:pPr>
        <w:widowControl w:val="0"/>
        <w:spacing w:line="276" w:lineRule="auto"/>
        <w:rPr/>
      </w:pPr>
      <w:r w:rsidDel="00000000" w:rsidR="00000000" w:rsidRPr="00000000">
        <w:rPr>
          <w:rtl w:val="0"/>
        </w:rPr>
      </w:r>
    </w:p>
    <w:p w:rsidR="00000000" w:rsidDel="00000000" w:rsidP="00000000" w:rsidRDefault="00000000" w:rsidRPr="00000000" w14:paraId="00000003">
      <w:pPr>
        <w:widowControl w:val="0"/>
        <w:spacing w:line="276" w:lineRule="auto"/>
        <w:rPr/>
      </w:pPr>
      <w:r w:rsidDel="00000000" w:rsidR="00000000" w:rsidRPr="00000000">
        <w:rPr>
          <w:rtl w:val="0"/>
        </w:rPr>
      </w:r>
    </w:p>
    <w:p w:rsidR="00000000" w:rsidDel="00000000" w:rsidP="00000000" w:rsidRDefault="00000000" w:rsidRPr="00000000" w14:paraId="00000004">
      <w:pPr>
        <w:widowControl w:val="0"/>
        <w:spacing w:line="276" w:lineRule="auto"/>
        <w:jc w:val="center"/>
        <w:rPr>
          <w:b w:val="1"/>
          <w:sz w:val="32"/>
          <w:szCs w:val="32"/>
        </w:rPr>
      </w:pPr>
      <w:r w:rsidDel="00000000" w:rsidR="00000000" w:rsidRPr="00000000">
        <w:rPr>
          <w:b w:val="1"/>
          <w:sz w:val="32"/>
          <w:szCs w:val="32"/>
          <w:rtl w:val="0"/>
        </w:rPr>
        <w:t xml:space="preserve">Hindering and Helping Multicultural Civic Engagement and </w:t>
      </w:r>
    </w:p>
    <w:p w:rsidR="00000000" w:rsidDel="00000000" w:rsidP="00000000" w:rsidRDefault="00000000" w:rsidRPr="00000000" w14:paraId="00000005">
      <w:pPr>
        <w:widowControl w:val="0"/>
        <w:spacing w:line="276" w:lineRule="auto"/>
        <w:jc w:val="center"/>
        <w:rPr>
          <w:b w:val="1"/>
          <w:sz w:val="32"/>
          <w:szCs w:val="32"/>
        </w:rPr>
      </w:pPr>
      <w:r w:rsidDel="00000000" w:rsidR="00000000" w:rsidRPr="00000000">
        <w:rPr>
          <w:b w:val="1"/>
          <w:sz w:val="32"/>
          <w:szCs w:val="32"/>
          <w:rtl w:val="0"/>
        </w:rPr>
        <w:t xml:space="preserve">Civic Participation in Victoria</w:t>
      </w:r>
    </w:p>
    <w:p w:rsidR="00000000" w:rsidDel="00000000" w:rsidP="00000000" w:rsidRDefault="00000000" w:rsidRPr="00000000" w14:paraId="00000006">
      <w:pPr>
        <w:widowControl w:val="0"/>
        <w:spacing w:line="276" w:lineRule="auto"/>
        <w:rPr/>
      </w:pPr>
      <w:r w:rsidDel="00000000" w:rsidR="00000000" w:rsidRPr="00000000">
        <w:rPr>
          <w:rtl w:val="0"/>
        </w:rPr>
      </w:r>
    </w:p>
    <w:p w:rsidR="00000000" w:rsidDel="00000000" w:rsidP="00000000" w:rsidRDefault="00000000" w:rsidRPr="00000000" w14:paraId="00000007">
      <w:pPr>
        <w:widowControl w:val="0"/>
        <w:spacing w:line="276" w:lineRule="auto"/>
        <w:rPr/>
      </w:pPr>
      <w:r w:rsidDel="00000000" w:rsidR="00000000" w:rsidRPr="00000000">
        <w:rPr>
          <w:rtl w:val="0"/>
        </w:rPr>
      </w:r>
    </w:p>
    <w:p w:rsidR="00000000" w:rsidDel="00000000" w:rsidP="00000000" w:rsidRDefault="00000000" w:rsidRPr="00000000" w14:paraId="00000008">
      <w:pPr>
        <w:widowControl w:val="0"/>
        <w:spacing w:line="276" w:lineRule="auto"/>
        <w:ind w:left="0" w:firstLine="0"/>
        <w:rPr>
          <w:sz w:val="20"/>
          <w:szCs w:val="20"/>
        </w:rPr>
      </w:pPr>
      <w:r w:rsidDel="00000000" w:rsidR="00000000" w:rsidRPr="00000000">
        <w:rPr>
          <w:b w:val="1"/>
          <w:color w:val="7030a0"/>
          <w:sz w:val="24"/>
          <w:szCs w:val="24"/>
          <w:rtl w:val="0"/>
        </w:rPr>
        <w:t xml:space="preserve">Phase 1: Designing and community engagement and knowledge building p</w:t>
      </w:r>
      <w:commentRangeStart w:id="0"/>
      <w:r w:rsidDel="00000000" w:rsidR="00000000" w:rsidRPr="00000000">
        <w:rPr>
          <w:b w:val="1"/>
          <w:color w:val="7030a0"/>
          <w:sz w:val="24"/>
          <w:szCs w:val="24"/>
          <w:rtl w:val="0"/>
        </w:rPr>
        <w:t xml:space="preserve">lan</w:t>
      </w:r>
      <w:commentRangeEnd w:id="0"/>
      <w:r w:rsidDel="00000000" w:rsidR="00000000" w:rsidRPr="00000000">
        <w:commentReference w:id="0"/>
      </w:r>
      <w:r w:rsidDel="00000000" w:rsidR="00000000" w:rsidRPr="00000000">
        <w:rPr>
          <w:b w:val="1"/>
          <w:color w:val="7030a0"/>
          <w:sz w:val="24"/>
          <w:szCs w:val="24"/>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Based on what you have learnt about the three phases of the Multicultural Community Voice In Action method, fill in the table below with your opinion. There are no right or wrong answers. Feel free to ref</w:t>
      </w:r>
      <w:r w:rsidDel="00000000" w:rsidR="00000000" w:rsidRPr="00000000">
        <w:rPr>
          <w:highlight w:val="white"/>
          <w:rtl w:val="0"/>
        </w:rPr>
        <w:t xml:space="preserve">er to the Multicultu</w:t>
      </w:r>
      <w:r w:rsidDel="00000000" w:rsidR="00000000" w:rsidRPr="00000000">
        <w:rPr>
          <w:rtl w:val="0"/>
        </w:rPr>
        <w:t xml:space="preserve">ral Community Voice In Action handout and your notes from your breakout groups, but your responses don’t have to relate to the scenarios you just practised. </w:t>
      </w:r>
    </w:p>
    <w:p w:rsidR="00000000" w:rsidDel="00000000" w:rsidP="00000000" w:rsidRDefault="00000000" w:rsidRPr="00000000" w14:paraId="0000000B">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ind w:left="0" w:firstLine="0"/>
              <w:rPr>
                <w:b w:val="1"/>
                <w:sz w:val="20"/>
                <w:szCs w:val="20"/>
              </w:rPr>
            </w:pPr>
            <w:r w:rsidDel="00000000" w:rsidR="00000000" w:rsidRPr="00000000">
              <w:rPr>
                <w:b w:val="1"/>
                <w:color w:val="7030a0"/>
                <w:sz w:val="20"/>
                <w:szCs w:val="20"/>
                <w:rtl w:val="0"/>
              </w:rPr>
              <w:t xml:space="preserve">W</w:t>
            </w:r>
            <w:r w:rsidDel="00000000" w:rsidR="00000000" w:rsidRPr="00000000">
              <w:rPr>
                <w:b w:val="1"/>
                <w:color w:val="7030a0"/>
                <w:sz w:val="20"/>
                <w:szCs w:val="20"/>
                <w:rtl w:val="0"/>
              </w:rPr>
              <w:t xml:space="preserve">hat gets in the way of your organisation / community group / committee when it comes to  Phase 1: Designing and community engagement and knowledge building plan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7030a0"/>
                <w:sz w:val="20"/>
                <w:szCs w:val="20"/>
                <w:rtl w:val="0"/>
              </w:rPr>
              <w:t xml:space="preserve">What would help your organisation / community group / committee when it comes to  Phase 1: Designing and community engagement and knowledge building plan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030a0"/>
                <w:sz w:val="20"/>
                <w:szCs w:val="20"/>
              </w:rPr>
            </w:pPr>
            <w:r w:rsidDel="00000000" w:rsidR="00000000" w:rsidRPr="00000000">
              <w:rPr>
                <w:b w:val="1"/>
                <w:color w:val="7030a0"/>
                <w:sz w:val="20"/>
                <w:szCs w:val="20"/>
                <w:rtl w:val="0"/>
              </w:rPr>
              <w:t xml:space="preserve">How to strengthen the things that are helping </w:t>
            </w:r>
            <w:r w:rsidDel="00000000" w:rsidR="00000000" w:rsidRPr="00000000">
              <w:rPr>
                <w:b w:val="1"/>
                <w:color w:val="7030a0"/>
                <w:sz w:val="20"/>
                <w:szCs w:val="20"/>
                <w:rtl w:val="0"/>
              </w:rPr>
              <w:t xml:space="preserve">(e.g. the things you want to keep on doing and the things you want VMC to keep supporting you to 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030a0"/>
                <w:sz w:val="20"/>
                <w:szCs w:val="20"/>
              </w:rPr>
            </w:pPr>
            <w:r w:rsidDel="00000000" w:rsidR="00000000" w:rsidRPr="00000000">
              <w:rPr>
                <w:b w:val="1"/>
                <w:color w:val="7030a0"/>
                <w:sz w:val="20"/>
                <w:szCs w:val="20"/>
                <w:rtl w:val="0"/>
              </w:rPr>
              <w:t xml:space="preserve">What new processes should be created when it comes to community engagement and civic participation (e.g. the things you want VMC and other key stakeholders to create to support you to engage your community and the Victorian Government more effectively)?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widowControl w:val="0"/>
        <w:spacing w:line="276" w:lineRule="auto"/>
        <w:rPr>
          <w:b w:val="1"/>
          <w:color w:val="7030a0"/>
        </w:rPr>
      </w:pPr>
      <w:r w:rsidDel="00000000" w:rsidR="00000000" w:rsidRPr="00000000">
        <w:rPr>
          <w:b w:val="1"/>
          <w:color w:val="7030a0"/>
          <w:sz w:val="24"/>
          <w:szCs w:val="24"/>
          <w:rtl w:val="0"/>
        </w:rPr>
        <w:t xml:space="preserve">Phase</w:t>
      </w:r>
      <w:r w:rsidDel="00000000" w:rsidR="00000000" w:rsidRPr="00000000">
        <w:rPr>
          <w:b w:val="1"/>
          <w:color w:val="7030a0"/>
          <w:sz w:val="24"/>
          <w:szCs w:val="24"/>
          <w:rtl w:val="0"/>
        </w:rPr>
        <w:t xml:space="preserve"> 2: Implementing a community engagement and knowled</w:t>
      </w:r>
      <w:r w:rsidDel="00000000" w:rsidR="00000000" w:rsidRPr="00000000">
        <w:rPr>
          <w:b w:val="1"/>
          <w:color w:val="7030a0"/>
          <w:sz w:val="24"/>
          <w:szCs w:val="24"/>
          <w:rtl w:val="0"/>
        </w:rPr>
        <w:t xml:space="preserve">ge building plan – </w:t>
      </w:r>
      <w:r w:rsidDel="00000000" w:rsidR="00000000" w:rsidRPr="00000000">
        <w:rPr>
          <w:b w:val="1"/>
          <w:color w:val="7030a0"/>
          <w:sz w:val="24"/>
          <w:szCs w:val="24"/>
          <w:rtl w:val="0"/>
        </w:rPr>
        <w:t xml:space="preserve">facilitating focus groups to assess quality of initiative, project, program, or service.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Based on what you have learnt about the three phases of the Multicultural Community Voice In Action method, fill in the table below with your opinion. There are no right or wrong answers. Feel free to refer to the Multicultural Community Voice In Action handout and your notes from your breakout groups, but your responses don’t have to relate to the scenarios you just practised. </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rPr>
                <w:b w:val="1"/>
                <w:sz w:val="20"/>
                <w:szCs w:val="20"/>
              </w:rPr>
            </w:pPr>
            <w:r w:rsidDel="00000000" w:rsidR="00000000" w:rsidRPr="00000000">
              <w:rPr>
                <w:b w:val="1"/>
                <w:color w:val="7030a0"/>
                <w:sz w:val="20"/>
                <w:szCs w:val="20"/>
                <w:rtl w:val="0"/>
              </w:rPr>
              <w:t xml:space="preserve">What gets in the way of your organisation / community group / committee when it comes to  Phase 2: Implementing a community engagement and knowledge building plan – facilitating focus groups to assess quality of initiative, project, program, or service.</w:t>
            </w:r>
            <w:r w:rsidDel="00000000" w:rsidR="00000000" w:rsidRPr="00000000">
              <w:rPr>
                <w:rtl w:val="0"/>
              </w:rPr>
            </w:r>
          </w:p>
          <w:p w:rsidR="00000000" w:rsidDel="00000000" w:rsidP="00000000" w:rsidRDefault="00000000" w:rsidRPr="00000000" w14:paraId="0000004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color w:val="7030a0"/>
                <w:sz w:val="20"/>
                <w:szCs w:val="20"/>
                <w:rtl w:val="0"/>
              </w:rPr>
              <w:t xml:space="preserve">What would help your organisation / community group / committee when it comes to  Phase 2: Implementing a community engagement and knowledge building plan – facilitating focus groups to assess quality of initiative, project, program, or service.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color w:val="7030a0"/>
                <w:sz w:val="20"/>
                <w:szCs w:val="20"/>
              </w:rPr>
            </w:pPr>
            <w:r w:rsidDel="00000000" w:rsidR="00000000" w:rsidRPr="00000000">
              <w:rPr>
                <w:b w:val="1"/>
                <w:color w:val="7030a0"/>
                <w:sz w:val="20"/>
                <w:szCs w:val="20"/>
                <w:rtl w:val="0"/>
              </w:rPr>
              <w:t xml:space="preserve">How to strengthen the things that are helping (e.g. the things you want to keep on doing and the things you want VMC to keep supporting you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color w:val="7030a0"/>
                <w:sz w:val="20"/>
                <w:szCs w:val="20"/>
              </w:rPr>
            </w:pPr>
            <w:r w:rsidDel="00000000" w:rsidR="00000000" w:rsidRPr="00000000">
              <w:rPr>
                <w:b w:val="1"/>
                <w:color w:val="7030a0"/>
                <w:sz w:val="20"/>
                <w:szCs w:val="20"/>
                <w:rtl w:val="0"/>
              </w:rPr>
              <w:t xml:space="preserve">What new processes should be created when it comes to community engagement and civic participation (e.g. the things you want VMC and other key stakeholders to create to support you to engage your community and the Victorian Government more effectively)?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r>
    </w:tbl>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spacing w:line="276" w:lineRule="auto"/>
        <w:rPr>
          <w:b w:val="1"/>
          <w:color w:val="7030a0"/>
        </w:rPr>
      </w:pPr>
      <w:r w:rsidDel="00000000" w:rsidR="00000000" w:rsidRPr="00000000">
        <w:rPr>
          <w:b w:val="1"/>
          <w:color w:val="7030a0"/>
          <w:sz w:val="24"/>
          <w:szCs w:val="24"/>
          <w:rtl w:val="0"/>
        </w:rPr>
        <w:t xml:space="preserve">Phase 3 Improving services and influencing policy – engaging government * influencing policy: advocacy &amp; influence using the power of the media.</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Based on what you have learnt about the three phases of the Multicultural Community Voice In Action method, fill in the table below with your opinion. There are no right or wrong answers. Feel free to refer to the Multicultural Community Voice In Action handout and your notes from your breakout groups, but your responses don’t have to relate to the scenarios you just practised. </w:t>
      </w:r>
    </w:p>
    <w:p w:rsidR="00000000" w:rsidDel="00000000" w:rsidP="00000000" w:rsidRDefault="00000000" w:rsidRPr="00000000" w14:paraId="00000089">
      <w:pPr>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76" w:lineRule="auto"/>
              <w:rPr>
                <w:b w:val="1"/>
                <w:sz w:val="20"/>
                <w:szCs w:val="20"/>
              </w:rPr>
            </w:pPr>
            <w:r w:rsidDel="00000000" w:rsidR="00000000" w:rsidRPr="00000000">
              <w:rPr>
                <w:b w:val="1"/>
                <w:color w:val="7030a0"/>
                <w:sz w:val="20"/>
                <w:szCs w:val="20"/>
                <w:rtl w:val="0"/>
              </w:rPr>
              <w:t xml:space="preserve">What gets in the way of your organisation / community group / committee when it comes to  Phase 3 Improving services and influencing policy – engaging government * influencing policy: advocacy &amp; influence using the power of the media.</w:t>
            </w: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color w:val="7030a0"/>
                <w:sz w:val="20"/>
                <w:szCs w:val="20"/>
                <w:rtl w:val="0"/>
              </w:rPr>
              <w:t xml:space="preserve">What would help your organisation / community group / committee when it comes to  Phase 3 Improving services and influencing policy – engaging government * influencing policy: advocacy &amp; influence using the power of the media.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color w:val="7030a0"/>
                <w:sz w:val="20"/>
                <w:szCs w:val="20"/>
              </w:rPr>
            </w:pPr>
            <w:r w:rsidDel="00000000" w:rsidR="00000000" w:rsidRPr="00000000">
              <w:rPr>
                <w:b w:val="1"/>
                <w:color w:val="7030a0"/>
                <w:sz w:val="20"/>
                <w:szCs w:val="20"/>
                <w:rtl w:val="0"/>
              </w:rPr>
              <w:t xml:space="preserve">How to strengthen the things that are helping (e.g. the things you want to keep on doing and the things you want VMC to keep supporting you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color w:val="7030a0"/>
                <w:sz w:val="20"/>
                <w:szCs w:val="20"/>
              </w:rPr>
            </w:pPr>
            <w:r w:rsidDel="00000000" w:rsidR="00000000" w:rsidRPr="00000000">
              <w:rPr>
                <w:b w:val="1"/>
                <w:color w:val="7030a0"/>
                <w:sz w:val="20"/>
                <w:szCs w:val="20"/>
                <w:rtl w:val="0"/>
              </w:rPr>
              <w:t xml:space="preserve">What new processes should be created when it comes to community engagement and civic participation (e.g. the things you want VMC and other key stakeholders to create to support you to engage your community and the Victorian Government more effectively)?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sectPr>
      <w:headerReference r:id="rId7" w:type="default"/>
      <w:pgSz w:h="16838" w:w="11906" w:orient="portrait"/>
      <w:pgMar w:bottom="1440" w:top="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va Sarr" w:id="0" w:date="2022-02-24T01:18:56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@bella@jtproductionmanagement.com  this needs to be turned into an interactive white board please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-930111</wp:posOffset>
          </wp:positionH>
          <wp:positionV relativeFrom="paragraph">
            <wp:posOffset>-438149</wp:posOffset>
          </wp:positionV>
          <wp:extent cx="7592341" cy="666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2341"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